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color w:val="000000"/>
          <w:sz w:val="22"/>
          <w:szCs w:val="22"/>
          <w:u w:val="single"/>
        </w:rPr>
        <w:t>TERMO DE REFERÊNCIA – LEI 14.133/21 de 01 de abril de 2021</w:t>
      </w:r>
    </w:p>
    <w:p>
      <w:pPr>
        <w:pStyle w:val="Normal"/>
        <w:spacing w:lineRule="auto" w:line="360"/>
        <w:jc w:val="center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jc w:val="center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iCs/>
          <w:color w:val="000000"/>
          <w:sz w:val="22"/>
          <w:szCs w:val="22"/>
        </w:rPr>
        <w:t>AQUISIÇÃO DE MATERIAIS DIVERSOS DE CONSTRUÇÃO</w:t>
      </w:r>
      <w:r>
        <w:rPr>
          <w:rFonts w:eastAsia="Arial" w:cs="Arial" w:ascii="Verdana" w:hAnsi="Verdana"/>
          <w:b/>
          <w:bCs/>
          <w:iCs/>
          <w:color w:val="000000"/>
          <w:kern w:val="0"/>
          <w:sz w:val="22"/>
          <w:szCs w:val="22"/>
          <w:shd w:fill="auto" w:val="clear"/>
          <w:lang w:val="pt-BR" w:eastAsia="zh-CN" w:bidi="ar-SA"/>
        </w:rPr>
        <w:t xml:space="preserve"> PARA ATENDIMENTO DAS NECESSIDADES DE MANUTENÇÃO CORRETIVA E PREVENTIVA E REPAROS GERAIS PARA OS BENS PATRIMONIAIS DA PREFEITURA MUNICIPAL DE SÃO GABRIEL DA PALHA.</w:t>
      </w:r>
    </w:p>
    <w:p>
      <w:pPr>
        <w:pStyle w:val="Normal"/>
        <w:spacing w:lineRule="auto" w:line="360"/>
        <w:jc w:val="center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2"/>
          <w:szCs w:val="22"/>
        </w:rPr>
        <w:t>002310</w:t>
      </w: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>/2025 de 26 de março de 2025 (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2"/>
          <w:szCs w:val="22"/>
          <w:lang w:val="pt-BR" w:eastAsia="pt-BR" w:bidi="ar-SA"/>
        </w:rPr>
        <w:t>Secretaria Municipal de Obras e Desenvolvimento Urbano</w:t>
      </w: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>)</w:t>
      </w:r>
    </w:p>
    <w:p>
      <w:pPr>
        <w:pStyle w:val="Normal"/>
        <w:spacing w:lineRule="auto" w:line="360"/>
        <w:jc w:val="center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 xml:space="preserve">1. DAS CONDIÇÕES GERAIS DA CONTRATAÇÃO </w:t>
      </w:r>
    </w:p>
    <w:p>
      <w:pPr>
        <w:pStyle w:val="Normal"/>
        <w:tabs>
          <w:tab w:val="clear" w:pos="708"/>
          <w:tab w:val="left" w:pos="567" w:leader="none"/>
        </w:tabs>
        <w:spacing w:lineRule="auto" w:line="360"/>
        <w:ind w:hanging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1.1. Registro de preços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2"/>
          <w:szCs w:val="22"/>
          <w:lang w:val="pt-BR" w:eastAsia="pt-BR" w:bidi="ar-SA"/>
        </w:rPr>
        <w:t>para a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 xml:space="preserve">quisição de materiais diversos de construção, para atendimento das necessidades de manutenção corretiva e preventiva e reparos gerais dos bens patrimoniais da Prefeitura Municipal de São Gabriel da Palha,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em atendimento as necessidades da Secretaria Municipal de Obras e Desenvolvimento Urbano,</w:t>
      </w:r>
      <w:r>
        <w:rPr>
          <w:rFonts w:eastAsia="Times New Roman" w:cs="Times New Roman" w:ascii="Verdana" w:hAnsi="Verdana"/>
          <w:color w:val="000000"/>
          <w:kern w:val="0"/>
          <w:sz w:val="22"/>
          <w:szCs w:val="22"/>
          <w:lang w:val="pt-BR" w:eastAsia="pt-BR" w:bidi="ar-SA"/>
        </w:rPr>
        <w:t xml:space="preserve"> </w:t>
      </w:r>
      <w:r>
        <w:rPr>
          <w:rFonts w:ascii="Verdana" w:hAnsi="Verdana"/>
          <w:color w:val="000000"/>
          <w:sz w:val="22"/>
          <w:szCs w:val="22"/>
        </w:rPr>
        <w:t>conforme condições e exigências estabelecidas neste instrumento e no ETP e DFD elaborado pela requente.</w:t>
      </w:r>
    </w:p>
    <w:p>
      <w:pPr>
        <w:pStyle w:val="Normal"/>
        <w:spacing w:lineRule="auto" w:line="36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tbl>
      <w:tblPr>
        <w:tblW w:w="9580" w:type="dxa"/>
        <w:jc w:val="left"/>
        <w:tblInd w:w="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743"/>
        <w:gridCol w:w="3174"/>
        <w:gridCol w:w="1203"/>
        <w:gridCol w:w="1020"/>
        <w:gridCol w:w="1760"/>
        <w:gridCol w:w="1680"/>
      </w:tblGrid>
      <w:tr>
        <w:trPr>
          <w:trHeight w:val="269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2"/>
                <w:szCs w:val="22"/>
              </w:rPr>
              <w:t>Unidade de medida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Quant.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Valor estimado unitário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Valor estimado total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ELETRODUTO PVC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 xml:space="preserve">FLEXÍVEL </w:t>
            </w:r>
            <w:r>
              <w:rPr>
                <w:rFonts w:ascii="Verdana" w:hAnsi="Verdana"/>
                <w:sz w:val="21"/>
                <w:szCs w:val="21"/>
              </w:rPr>
              <w:t xml:space="preserve">CORRUGADO, COR AMARELA, DE 20 </w:t>
            </w:r>
            <w:r>
              <w:rPr>
                <w:rFonts w:ascii="Verdana" w:hAnsi="Verdana"/>
                <w:spacing w:val="-5"/>
                <w:sz w:val="21"/>
                <w:szCs w:val="21"/>
              </w:rPr>
              <w:t xml:space="preserve">MM </w:t>
            </w:r>
            <w:r>
              <w:rPr>
                <w:rFonts w:ascii="Verdana" w:hAnsi="Verdana"/>
                <w:sz w:val="21"/>
                <w:szCs w:val="21"/>
              </w:rPr>
              <w:t xml:space="preserve">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73" w:after="0"/>
              <w:ind w:left="42" w:right="31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2"/>
              <w:jc w:val="right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5.000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73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2,80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73" w:after="0"/>
              <w:ind w:left="0" w:right="66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14.000,00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02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ELETRODUTO PVC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FLEXÍVEL</w:t>
            </w:r>
          </w:p>
          <w:p>
            <w:pPr>
              <w:pStyle w:val="TableParagraph"/>
              <w:spacing w:lineRule="auto" w:line="360" w:before="36" w:after="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CORRUGADO, COR AMARELA, DE 25 </w:t>
            </w:r>
            <w:r>
              <w:rPr>
                <w:rFonts w:ascii="Verdana" w:hAnsi="Verdana"/>
                <w:spacing w:val="-5"/>
                <w:sz w:val="21"/>
                <w:szCs w:val="21"/>
              </w:rPr>
              <w:t xml:space="preserve">MM </w:t>
            </w:r>
            <w:r>
              <w:rPr>
                <w:rFonts w:ascii="Verdana" w:hAnsi="Verdana"/>
                <w:sz w:val="21"/>
                <w:szCs w:val="21"/>
              </w:rPr>
              <w:t xml:space="preserve">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42" w:right="31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42"/>
              <w:jc w:val="right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5.000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2,74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66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13.700,00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03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LUVA DE PRESSÃO, EM PVC, DE 20 </w:t>
            </w:r>
            <w:r>
              <w:rPr>
                <w:rFonts w:ascii="Verdana" w:hAnsi="Verdana"/>
                <w:spacing w:val="-5"/>
                <w:sz w:val="21"/>
                <w:szCs w:val="21"/>
              </w:rPr>
              <w:t xml:space="preserve">MM, </w:t>
            </w:r>
            <w:r>
              <w:rPr>
                <w:rFonts w:ascii="Verdana" w:hAnsi="Verdana"/>
                <w:sz w:val="21"/>
                <w:szCs w:val="21"/>
              </w:rPr>
              <w:t xml:space="preserve">PARA ELETRODUTO FLEXÍVEL 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11" w:right="42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0" w:right="42"/>
              <w:jc w:val="right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1.000</w:t>
            </w:r>
            <w:r>
              <w:rPr>
                <w:rFonts w:ascii="Verdana" w:hAnsi="Verdana"/>
                <w:spacing w:val="-10"/>
                <w:sz w:val="21"/>
                <w:szCs w:val="21"/>
              </w:rPr>
              <w:t>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1,4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5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1.470,00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04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LUVA DE PRESSÃO, EM PVC, DE 25 </w:t>
            </w:r>
            <w:r>
              <w:rPr>
                <w:rFonts w:ascii="Verdana" w:hAnsi="Verdana"/>
                <w:spacing w:val="-5"/>
                <w:sz w:val="21"/>
                <w:szCs w:val="21"/>
              </w:rPr>
              <w:t xml:space="preserve">MM, </w:t>
            </w:r>
            <w:r>
              <w:rPr>
                <w:rFonts w:ascii="Verdana" w:hAnsi="Verdana"/>
                <w:sz w:val="21"/>
                <w:szCs w:val="21"/>
              </w:rPr>
              <w:t xml:space="preserve">PARA ELETRODUTO FLEXÍVEL 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11" w:right="42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0" w:right="42"/>
              <w:jc w:val="right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1.00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1,47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5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1.470,00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05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ELETRODUTO DE PVC RÍGIDO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 xml:space="preserve">ROSCÁVEL </w:t>
            </w:r>
            <w:r>
              <w:rPr>
                <w:rFonts w:ascii="Verdana" w:hAnsi="Verdana"/>
                <w:sz w:val="21"/>
                <w:szCs w:val="21"/>
              </w:rPr>
              <w:t xml:space="preserve">DE 3/4 ", SEM LUVA 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42" w:right="31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0" w:right="42"/>
              <w:jc w:val="right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2.500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5,00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0" w:right="66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12.500,00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06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CURVA 135 GRAUS, DE PVC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 xml:space="preserve">RÍGIDO </w:t>
            </w:r>
            <w:r>
              <w:rPr>
                <w:rFonts w:ascii="Verdana" w:hAnsi="Verdana"/>
                <w:sz w:val="21"/>
                <w:szCs w:val="21"/>
              </w:rPr>
              <w:t xml:space="preserve">ROSCÁVEL, DE 3/4", PARA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ELETRODUTO</w:t>
            </w:r>
          </w:p>
          <w:p>
            <w:pPr>
              <w:pStyle w:val="TableParagraph"/>
              <w:spacing w:lineRule="auto" w:line="360" w:before="16" w:after="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171" w:right="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25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3,08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37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77,00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07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CURVA 180 GRAUS, DE PVC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 xml:space="preserve">RÍGIDO </w:t>
            </w:r>
            <w:r>
              <w:rPr>
                <w:rFonts w:ascii="Verdana" w:hAnsi="Verdana"/>
                <w:sz w:val="21"/>
                <w:szCs w:val="21"/>
              </w:rPr>
              <w:t xml:space="preserve">ROSCÁVEL, DE 3/4", PARA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ELETRODUTO</w:t>
            </w:r>
          </w:p>
          <w:p>
            <w:pPr>
              <w:pStyle w:val="TableParagraph"/>
              <w:spacing w:lineRule="auto" w:line="360" w:before="36" w:after="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171" w:right="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25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5,28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48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132,00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08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LUVA EM PVC RÍGIDO ROSCÁVEL, </w:t>
            </w:r>
            <w:r>
              <w:rPr>
                <w:rFonts w:ascii="Verdana" w:hAnsi="Verdana"/>
                <w:spacing w:val="-5"/>
                <w:sz w:val="21"/>
                <w:szCs w:val="21"/>
              </w:rPr>
              <w:t xml:space="preserve">DE </w:t>
            </w:r>
            <w:r>
              <w:rPr>
                <w:rFonts w:ascii="Verdana" w:hAnsi="Verdana"/>
                <w:sz w:val="21"/>
                <w:szCs w:val="21"/>
              </w:rPr>
              <w:t xml:space="preserve">3/4", PARA ELETRODUTO 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11" w:right="42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60" w:right="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100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2,65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0" w:right="48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265,00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09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CAIXA OCTOGONAL DE FUNDO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 xml:space="preserve">MÓVEL, </w:t>
            </w:r>
            <w:r>
              <w:rPr>
                <w:rFonts w:ascii="Verdana" w:hAnsi="Verdana"/>
                <w:sz w:val="21"/>
                <w:szCs w:val="21"/>
              </w:rPr>
              <w:t xml:space="preserve">EM PVC, DE 4" X 4", PARA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ELETRODUTO</w:t>
            </w:r>
          </w:p>
          <w:p>
            <w:pPr>
              <w:pStyle w:val="TableParagraph"/>
              <w:spacing w:lineRule="auto" w:line="360" w:before="16" w:after="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FLEXÍVEL CORRUGADO 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171" w:right="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7,13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48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356,50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CAIXA DE PASSAGEM, EM PVC, DE 4" </w:t>
            </w:r>
            <w:r>
              <w:rPr>
                <w:rFonts w:ascii="Verdana" w:hAnsi="Verdana"/>
                <w:spacing w:val="-10"/>
                <w:sz w:val="21"/>
                <w:szCs w:val="21"/>
              </w:rPr>
              <w:t xml:space="preserve">X </w:t>
            </w:r>
            <w:r>
              <w:rPr>
                <w:rFonts w:ascii="Verdana" w:hAnsi="Verdana"/>
                <w:sz w:val="21"/>
                <w:szCs w:val="21"/>
              </w:rPr>
              <w:t xml:space="preserve">2", PARA ELETRODUTO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FLEXÍVEL</w:t>
            </w:r>
          </w:p>
          <w:p>
            <w:pPr>
              <w:pStyle w:val="TableParagraph"/>
              <w:spacing w:lineRule="auto" w:line="360" w:before="36" w:after="0"/>
              <w:ind w:left="30" w:right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 xml:space="preserve">CORRUGADO com </w:t>
            </w:r>
            <w:r>
              <w:rPr>
                <w:rFonts w:ascii="Verdana" w:hAnsi="Verdana"/>
                <w:spacing w:val="-2"/>
                <w:sz w:val="21"/>
                <w:szCs w:val="21"/>
              </w:rPr>
              <w:t>frete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5"/>
                <w:sz w:val="21"/>
                <w:szCs w:val="21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42"/>
              <w:jc w:val="right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pacing w:val="-2"/>
                <w:sz w:val="21"/>
                <w:szCs w:val="21"/>
              </w:rPr>
              <w:t>1.000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3,14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TableParagraph"/>
              <w:spacing w:lineRule="auto" w:line="360" w:before="1" w:after="0"/>
              <w:ind w:left="0" w:right="55"/>
              <w:jc w:val="righ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>3.140,00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QUADRO DE DISTRIBUIÇÃO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 xml:space="preserve">COM </w:t>
            </w:r>
            <w:r>
              <w:rPr>
                <w:rFonts w:ascii="Verdana" w:hAnsi="Verdana"/>
                <w:sz w:val="22"/>
                <w:szCs w:val="22"/>
              </w:rPr>
              <w:t xml:space="preserve">BARRAMENTO TRIFÁSICO, DE EMBUTIR, EM CHAPA DE AÇO GALVANIZADO, </w:t>
            </w:r>
            <w:r>
              <w:rPr>
                <w:rFonts w:ascii="Verdana" w:hAnsi="Verdana"/>
                <w:spacing w:val="-4"/>
                <w:sz w:val="22"/>
                <w:szCs w:val="22"/>
              </w:rPr>
              <w:t xml:space="preserve">PARA </w:t>
            </w:r>
            <w:r>
              <w:rPr>
                <w:rFonts w:ascii="Verdana" w:hAnsi="Verdana"/>
                <w:sz w:val="22"/>
                <w:szCs w:val="22"/>
              </w:rPr>
              <w:t xml:space="preserve">18 disjuntores din, 100 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>a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71" w:right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477,37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5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4.773,70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46" w:after="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QUADRO DE DISTRIBUIÇÃO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COM BARRAMENTO</w:t>
            </w:r>
            <w:r>
              <w:rPr>
                <w:rFonts w:ascii="Verdana" w:hAnsi="Verdana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TRIFÁSICO,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DE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 xml:space="preserve">SOBREPOR, EM CHAPA DE AÇO GALVANIZADO, PARA 18 disjuntores din, 100 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>a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4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46" w:after="0"/>
              <w:ind w:left="171" w:right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46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442,76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46" w:after="0"/>
              <w:ind w:left="0" w:right="5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4.427,60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DISJUNTOR TIPO DIN/IEC, BIPOLAR DE 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 xml:space="preserve">6 </w:t>
            </w:r>
            <w:r>
              <w:rPr>
                <w:rFonts w:ascii="Verdana" w:hAnsi="Verdana"/>
                <w:sz w:val="22"/>
                <w:szCs w:val="22"/>
              </w:rPr>
              <w:t xml:space="preserve">ATE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32A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49,79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4.979,00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DISJUNTOR TIPO DIN/IEC, BIPOLAR 40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ATE 50A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48,34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4.834,00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DISJUNTOR TIPO DIN/IEC, BIPOLAR 63 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>A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69,29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1.385,80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DISJUNTOR TIPO DIN/IEC, MONOPOLAR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 xml:space="preserve">DE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  <w:r>
              <w:rPr>
                <w:rFonts w:ascii="Verdana" w:hAnsi="Verdana"/>
                <w:spacing w:val="44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ATE</w:t>
            </w:r>
            <w:r>
              <w:rPr>
                <w:rFonts w:ascii="Verdana" w:hAnsi="Verdana"/>
                <w:spacing w:val="44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32A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9,17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1.834,00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DISJUNTOR TIPO DIN/IEC, MONOPOLAR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 xml:space="preserve">DE </w:t>
            </w:r>
            <w:r>
              <w:rPr>
                <w:rFonts w:ascii="Verdana" w:hAnsi="Verdana"/>
                <w:sz w:val="22"/>
                <w:szCs w:val="22"/>
              </w:rPr>
              <w:t xml:space="preserve">63 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>A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16,42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58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328,40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DISJUNTOR TIPO DIN/IEC, TRIPOLAR DE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10</w:t>
            </w:r>
          </w:p>
          <w:p>
            <w:pPr>
              <w:pStyle w:val="TableParagraph"/>
              <w:spacing w:lineRule="auto" w:line="360" w:before="16" w:after="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ATE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50A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58,57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2.928,50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DISJUNTOR TIPO DIN/IEC, TRIPOLAR 63 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>A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72,86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1.457,20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CAIXA DE PASSAGEM ELÉTRICA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 xml:space="preserve">DE </w:t>
            </w:r>
            <w:r>
              <w:rPr>
                <w:rFonts w:ascii="Verdana" w:hAnsi="Verdana"/>
                <w:sz w:val="22"/>
                <w:szCs w:val="22"/>
              </w:rPr>
              <w:t xml:space="preserve">PAREDE, DE EMBUTIR, EM PVC,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 xml:space="preserve">COM </w:t>
            </w:r>
            <w:r>
              <w:rPr>
                <w:rFonts w:ascii="Verdana" w:hAnsi="Verdana"/>
                <w:sz w:val="22"/>
                <w:szCs w:val="22"/>
              </w:rPr>
              <w:t>TAMPA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APARAFUSADA</w:t>
            </w:r>
            <w:r>
              <w:rPr>
                <w:rFonts w:ascii="Verdana" w:hAnsi="Verdana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dimensoes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150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x 150 x *75* mm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47,93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58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958,60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ESPELHO / PLACA CEGA 4" X 2", </w:t>
            </w:r>
            <w:r>
              <w:rPr>
                <w:rFonts w:ascii="Verdana" w:hAnsi="Verdana"/>
                <w:spacing w:val="-4"/>
                <w:sz w:val="22"/>
                <w:szCs w:val="22"/>
              </w:rPr>
              <w:t xml:space="preserve">PARA </w:t>
            </w:r>
            <w:r>
              <w:rPr>
                <w:rFonts w:ascii="Verdana" w:hAnsi="Verdana"/>
                <w:sz w:val="22"/>
                <w:szCs w:val="22"/>
              </w:rPr>
              <w:t>INSTALAÇÃO</w:t>
            </w:r>
            <w:r>
              <w:rPr>
                <w:rFonts w:ascii="Verdana" w:hAnsi="Verdana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DE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TOMADAS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E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INTERRUPTORES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4,82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58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241,00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TOMADA 2P+T 10A, 250V,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CONJUNTO </w:t>
            </w:r>
            <w:r>
              <w:rPr>
                <w:rFonts w:ascii="Verdana" w:hAnsi="Verdana"/>
                <w:sz w:val="22"/>
                <w:szCs w:val="22"/>
              </w:rPr>
              <w:t xml:space="preserve">MONTADO PARA EMBUTIR 4" X 2"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(PLACA </w:t>
            </w:r>
            <w:r>
              <w:rPr>
                <w:rFonts w:ascii="Verdana" w:hAnsi="Verdana"/>
                <w:sz w:val="22"/>
                <w:szCs w:val="22"/>
              </w:rPr>
              <w:t xml:space="preserve">+ SUPORTE +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MODULO)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300,000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13,38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4.014,00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TOMADA 2P+T 20A 250V,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CONJUNTO </w:t>
            </w:r>
            <w:r>
              <w:rPr>
                <w:rFonts w:ascii="Verdana" w:hAnsi="Verdana"/>
                <w:sz w:val="22"/>
                <w:szCs w:val="22"/>
              </w:rPr>
              <w:t xml:space="preserve">MONTADO PARA EMBUTIR 4" X 2"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(PLACA </w:t>
            </w:r>
            <w:r>
              <w:rPr>
                <w:rFonts w:ascii="Verdana" w:hAnsi="Verdana"/>
                <w:sz w:val="22"/>
                <w:szCs w:val="22"/>
              </w:rPr>
              <w:t xml:space="preserve">+ SUPORTE +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MODULO)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18,28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2.742,00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INTERRUPTOR SIMPLES 10A,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250V, </w:t>
            </w:r>
            <w:r>
              <w:rPr>
                <w:rFonts w:ascii="Verdana" w:hAnsi="Verdana"/>
                <w:sz w:val="22"/>
                <w:szCs w:val="22"/>
              </w:rPr>
              <w:t>CONJUNTO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MONTADO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PARA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EMBUTIR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4"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X 2" (PLACA + SUPORTE + MODULO)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11,35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1.702,50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INTERRUPTORES SIMPLES (2 MODULOS) 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 xml:space="preserve">+ </w:t>
            </w:r>
            <w:r>
              <w:rPr>
                <w:rFonts w:ascii="Verdana" w:hAnsi="Verdana"/>
                <w:sz w:val="22"/>
                <w:szCs w:val="22"/>
              </w:rPr>
              <w:t>TOMADA 2P+T 10A, 250V, CONJUNTO MONTADO</w:t>
            </w:r>
            <w:r>
              <w:rPr>
                <w:rFonts w:ascii="Verdana" w:hAns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PARA</w:t>
            </w:r>
            <w:r>
              <w:rPr>
                <w:rFonts w:ascii="Verdana" w:hAns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EMBUTIR</w:t>
            </w:r>
            <w:r>
              <w:rPr>
                <w:rFonts w:ascii="Verdana" w:hAns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4"</w:t>
            </w:r>
            <w:r>
              <w:rPr>
                <w:rFonts w:ascii="Verdana" w:hAns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X</w:t>
            </w:r>
            <w:r>
              <w:rPr>
                <w:rFonts w:ascii="Verdana" w:hAns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2"</w:t>
            </w:r>
            <w:r>
              <w:rPr>
                <w:rFonts w:ascii="Verdana" w:hAns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(placa</w:t>
            </w:r>
            <w:r>
              <w:rPr>
                <w:rFonts w:ascii="Verdana" w:hAns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+ suporte +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modulos)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9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9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80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9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/>
              <w:ind w:left="0" w:right="58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9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1.600,00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63" w:after="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CABO DE COBRE, 1 CONDUTOR,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450/750 V, SECAO NOMINAL 1,5 MM2, FLEXÍVEL, CLASSE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4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OU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5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isolação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em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pvc/a, antichama bwf-b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63" w:after="0"/>
              <w:ind w:left="42" w:right="31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63" w:after="0"/>
              <w:ind w:left="0" w:right="42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1.500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63" w:after="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1,81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63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2.715,00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CABO DE COBRE, 1 CONDUTOR,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450/750 </w:t>
            </w:r>
            <w:r>
              <w:rPr>
                <w:rFonts w:ascii="Verdana" w:hAnsi="Verdana"/>
                <w:sz w:val="22"/>
                <w:szCs w:val="22"/>
              </w:rPr>
              <w:t xml:space="preserve">V, SECAO NOMINAL 10 MM2,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FLEXÍVEL, </w:t>
            </w:r>
            <w:r>
              <w:rPr>
                <w:rFonts w:ascii="Verdana" w:hAnsi="Verdana"/>
                <w:sz w:val="22"/>
                <w:szCs w:val="22"/>
              </w:rPr>
              <w:t>CLASSE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OU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isolação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em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pvc/a, antichama bwf-b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42" w:right="31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800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10,93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8.744,00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CABO DE COBRE, 1 CONDUTOR,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450/750 </w:t>
            </w:r>
            <w:r>
              <w:rPr>
                <w:rFonts w:ascii="Verdana" w:hAnsi="Verdana"/>
                <w:sz w:val="22"/>
                <w:szCs w:val="22"/>
              </w:rPr>
              <w:t xml:space="preserve">V, SECAO NOMINAL  16 MM2,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FLEXÍVEL, </w:t>
            </w:r>
            <w:r>
              <w:rPr>
                <w:rFonts w:ascii="Verdana" w:hAnsi="Verdana"/>
                <w:sz w:val="22"/>
                <w:szCs w:val="22"/>
              </w:rPr>
              <w:t>CLASSE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OU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isolação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em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pvc/a, antichama bwf-b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42" w:right="31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7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800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15,73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7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12.584,00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CABO DE COBRE, 1 CONDUTOR,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450/750 </w:t>
            </w:r>
            <w:r>
              <w:rPr>
                <w:rFonts w:ascii="Verdana" w:hAnsi="Verdana"/>
                <w:sz w:val="22"/>
                <w:szCs w:val="22"/>
              </w:rPr>
              <w:t xml:space="preserve">V, SECAO NOMINAL 2,5 MM2,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FLEXÍVEL, </w:t>
            </w:r>
            <w:r>
              <w:rPr>
                <w:rFonts w:ascii="Verdana" w:hAnsi="Verdana"/>
                <w:sz w:val="22"/>
                <w:szCs w:val="22"/>
              </w:rPr>
              <w:t xml:space="preserve">CLASSE 4 OU 5 isolação em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pvc/a,</w:t>
            </w:r>
          </w:p>
          <w:p>
            <w:pPr>
              <w:pStyle w:val="TableParagraph"/>
              <w:spacing w:lineRule="auto" w:line="360" w:before="36" w:after="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antichama bwf-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>b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42" w:right="31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2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2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4.000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2,50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7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10.000,00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CABO DE COBRE, 1 CONDUTOR,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450/750 </w:t>
            </w:r>
            <w:r>
              <w:rPr>
                <w:rFonts w:ascii="Verdana" w:hAnsi="Verdana"/>
                <w:sz w:val="22"/>
                <w:szCs w:val="22"/>
              </w:rPr>
              <w:t xml:space="preserve">V, SECAO NOMINAL 4 MM2,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FLEXÍVEL, </w:t>
            </w:r>
            <w:r>
              <w:rPr>
                <w:rFonts w:ascii="Verdana" w:hAnsi="Verdana"/>
                <w:sz w:val="22"/>
                <w:szCs w:val="22"/>
              </w:rPr>
              <w:t xml:space="preserve">CLASSE 4 OU 5 isolação em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pvc/a,</w:t>
            </w:r>
          </w:p>
          <w:p>
            <w:pPr>
              <w:pStyle w:val="TableParagraph"/>
              <w:spacing w:lineRule="auto" w:line="360" w:before="36" w:after="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antichama bwf-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>b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9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/>
              <w:ind w:left="42" w:right="31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83" w:after="0"/>
              <w:ind w:left="0" w:right="42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1.500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9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4,44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9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6.660,00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CABO DE COBRE, 1 CONDUTOR,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450/750 </w:t>
            </w:r>
            <w:r>
              <w:rPr>
                <w:rFonts w:ascii="Verdana" w:hAnsi="Verdana"/>
                <w:sz w:val="22"/>
                <w:szCs w:val="22"/>
              </w:rPr>
              <w:t xml:space="preserve">V, SECAO NOMINAL 6 MM2,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FLEXÍVEL, </w:t>
            </w:r>
            <w:r>
              <w:rPr>
                <w:rFonts w:ascii="Verdana" w:hAnsi="Verdana"/>
                <w:sz w:val="22"/>
                <w:szCs w:val="22"/>
              </w:rPr>
              <w:t>CLASSE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OU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isolação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em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pvc/a, antichama bwf-b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42" w:right="31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2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1.500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6,09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2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9.135,00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FITA ISOLANTE ADESIVA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ANTI-CHAMA, </w:t>
            </w:r>
            <w:r>
              <w:rPr>
                <w:rFonts w:ascii="Verdana" w:hAnsi="Verdana"/>
                <w:sz w:val="22"/>
                <w:szCs w:val="22"/>
              </w:rPr>
              <w:t xml:space="preserve">USO ATE 750 V, EM ROLO DE 19 MM X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 xml:space="preserve">20 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>M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7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300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12,19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3.657,00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ABRAÇADEIRA DE NYLON </w:t>
            </w:r>
            <w:r>
              <w:rPr>
                <w:rFonts w:ascii="Verdana" w:hAnsi="Verdana"/>
                <w:spacing w:val="-4"/>
                <w:sz w:val="22"/>
                <w:szCs w:val="22"/>
              </w:rPr>
              <w:t xml:space="preserve">PARA </w:t>
            </w:r>
            <w:r>
              <w:rPr>
                <w:rFonts w:ascii="Verdana" w:hAnsi="Verdana"/>
                <w:sz w:val="22"/>
                <w:szCs w:val="22"/>
              </w:rPr>
              <w:t xml:space="preserve">AMARRAÇÃO DE CABOS,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COMPRIMENTO</w:t>
            </w:r>
          </w:p>
          <w:p>
            <w:pPr>
              <w:pStyle w:val="TableParagraph"/>
              <w:spacing w:lineRule="auto" w:line="360" w:before="36" w:after="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DE 150 X 3,6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MM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0" w:right="42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1.500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1,10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1.650,00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LÂMPADA LED TUBULAR BIVOLT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18/20 </w:t>
            </w:r>
            <w:r>
              <w:rPr>
                <w:rFonts w:ascii="Verdana" w:hAnsi="Verdana"/>
                <w:sz w:val="22"/>
                <w:szCs w:val="22"/>
              </w:rPr>
              <w:t xml:space="preserve">W, BASE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G13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0" w:right="47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13,19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6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1.978,50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LÂMPADA LED TUBULAR BIVOLT 9/10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 xml:space="preserve">W, </w:t>
            </w:r>
            <w:r>
              <w:rPr>
                <w:rFonts w:ascii="Verdana" w:hAnsi="Verdana"/>
                <w:sz w:val="22"/>
                <w:szCs w:val="22"/>
              </w:rPr>
              <w:t xml:space="preserve">BASE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G13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47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8,53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1.279,50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LÂMPADA LED 10 W BIVOLT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BRANCA, </w:t>
            </w:r>
            <w:r>
              <w:rPr>
                <w:rFonts w:ascii="Verdana" w:hAnsi="Verdana"/>
                <w:sz w:val="22"/>
                <w:szCs w:val="22"/>
              </w:rPr>
              <w:t xml:space="preserve">FORMATO TRADICIONAL (BASE </w:t>
            </w:r>
            <w:r>
              <w:rPr>
                <w:rFonts w:ascii="Verdana" w:hAnsi="Verdana"/>
                <w:spacing w:val="-4"/>
                <w:sz w:val="22"/>
                <w:szCs w:val="22"/>
              </w:rPr>
              <w:t>E27)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47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200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9,62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06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1.924,00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LAMPADA LED 30W bivolt branca,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formato </w:t>
            </w:r>
            <w:r>
              <w:rPr>
                <w:rFonts w:ascii="Verdana" w:hAnsi="Verdana"/>
                <w:sz w:val="22"/>
                <w:szCs w:val="22"/>
              </w:rPr>
              <w:t xml:space="preserve">tradicional (base </w:t>
            </w:r>
            <w:r>
              <w:rPr>
                <w:rFonts w:ascii="Verdana" w:hAnsi="Verdana"/>
                <w:spacing w:val="-4"/>
                <w:sz w:val="22"/>
                <w:szCs w:val="22"/>
              </w:rPr>
              <w:t>e27)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0" w:right="47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200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20,80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83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4.160,00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6" w:after="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LAMPADA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LED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50W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bivolt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branca,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formato tradicional (base e27)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6" w:after="0"/>
              <w:ind w:left="60" w:right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200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6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29,68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6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5.936,00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LUMINARIA</w:t>
            </w:r>
            <w:r>
              <w:rPr>
                <w:rFonts w:ascii="Verdana" w:hAnsi="Verdana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LED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REFLETOR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RETANGULAR BIVOLT, LUZ BRANCA, 50 W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6" w:after="0"/>
              <w:ind w:left="60" w:right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6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37,43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6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5.614,50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LUMINARIA LED REFLETOR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RETANGULAR </w:t>
            </w:r>
            <w:r>
              <w:rPr>
                <w:rFonts w:ascii="Verdana" w:hAnsi="Verdana"/>
                <w:sz w:val="22"/>
                <w:szCs w:val="22"/>
              </w:rPr>
              <w:t xml:space="preserve">BIVOLT, LUZ BRANCA, 100 </w:t>
            </w:r>
            <w:r>
              <w:rPr>
                <w:rFonts w:ascii="Verdana" w:hAnsi="Verdana"/>
                <w:spacing w:val="-10"/>
                <w:sz w:val="22"/>
                <w:szCs w:val="22"/>
              </w:rPr>
              <w:t>W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6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6" w:after="0"/>
              <w:ind w:left="60" w:right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6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40,20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6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6.030,00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LUMINARIA</w:t>
            </w:r>
            <w:r>
              <w:rPr>
                <w:rFonts w:ascii="Verdana" w:hAnsi="Verdana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LED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REFLETOR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RETANGULAR BIVOLT, LUZ BRANCA, 200 W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3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3" w:after="0"/>
              <w:ind w:left="60" w:right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3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43,00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93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6.450,00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LUMINARIA</w:t>
            </w:r>
            <w:r>
              <w:rPr>
                <w:rFonts w:ascii="Verdana" w:hAnsi="Verdana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DE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TETO</w:t>
            </w:r>
            <w:r>
              <w:rPr>
                <w:rFonts w:ascii="Verdana" w:hAnsi="Verdana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PLAFON/PLAFONIER EM PLASTICO COM BASE E27,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POTENCIA </w:t>
            </w:r>
            <w:r>
              <w:rPr>
                <w:rFonts w:ascii="Verdana" w:hAnsi="Verdana"/>
                <w:sz w:val="22"/>
                <w:szCs w:val="22"/>
              </w:rPr>
              <w:t>MAXIMA 60 W</w:t>
            </w:r>
            <w:r>
              <w:rPr>
                <w:rFonts w:ascii="Verdana" w:hAnsi="Verdana"/>
                <w:spacing w:val="44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(nao inclui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lampada)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3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3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60" w:right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3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13,25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3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6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1.987,50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205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CURVA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90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GRAUS,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LONGA,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DE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PVC RÍGIDO ROSCÁVEL, DE ¾ ", PARA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>ELETRODUTO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1" w:right="42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UND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171" w:right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50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25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4,15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58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207,50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205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CABO DE COBRE, FLEXÍVEL, CLASSE 4 OU 5, ISOLAÇÃO EM PVC/A,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ANTICHAMA </w:t>
            </w:r>
            <w:r>
              <w:rPr>
                <w:rFonts w:ascii="Verdana" w:hAnsi="Verdana"/>
                <w:sz w:val="22"/>
                <w:szCs w:val="22"/>
              </w:rPr>
              <w:t>BWF-B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,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condutor,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450/750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v,</w:t>
            </w:r>
            <w:r>
              <w:rPr>
                <w:rFonts w:ascii="Verdana" w:hAnsi="Verdana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secao nominal 25 mm2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3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42" w:right="31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2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1.500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3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3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26,80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3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7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40.215,00</w:t>
            </w:r>
          </w:p>
        </w:tc>
      </w:tr>
      <w:tr>
        <w:trPr>
          <w:trHeight w:val="269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287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CABO DE COBRE, FLEXÍVEL, CLASSE 4 OU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5,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ISOLAÇÃO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EM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PVC/A,</w:t>
            </w:r>
            <w:r>
              <w:rPr>
                <w:rFonts w:ascii="Verdana" w:hAns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ANTICHAMA BWF-B, , 1 CONDUTOR , 450/750 v, </w:t>
            </w:r>
            <w:r>
              <w:rPr>
                <w:rFonts w:ascii="Verdana" w:hAnsi="Verdana"/>
                <w:spacing w:val="-2"/>
                <w:sz w:val="22"/>
                <w:szCs w:val="22"/>
              </w:rPr>
              <w:t xml:space="preserve">secao </w:t>
            </w:r>
            <w:r>
              <w:rPr>
                <w:rFonts w:ascii="Verdana" w:hAnsi="Verdana"/>
                <w:sz w:val="22"/>
                <w:szCs w:val="22"/>
              </w:rPr>
              <w:t xml:space="preserve">nominal 50 </w:t>
            </w:r>
            <w:r>
              <w:rPr>
                <w:rFonts w:ascii="Verdana" w:hAnsi="Verdana"/>
                <w:spacing w:val="-5"/>
                <w:sz w:val="22"/>
                <w:szCs w:val="22"/>
              </w:rPr>
              <w:t>mm2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3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42" w:right="31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5"/>
                <w:sz w:val="22"/>
                <w:szCs w:val="22"/>
              </w:rPr>
              <w:t>MT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42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pacing w:val="-2"/>
                <w:sz w:val="22"/>
                <w:szCs w:val="22"/>
              </w:rPr>
              <w:t>1.500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3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58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44,00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31" w:after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TableParagraph"/>
              <w:spacing w:lineRule="auto" w:line="360" w:before="1" w:after="0"/>
              <w:ind w:left="0" w:right="76"/>
              <w:jc w:val="righ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pacing w:val="-2"/>
                <w:sz w:val="21"/>
                <w:szCs w:val="21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2"/>
                <w:szCs w:val="22"/>
              </w:rPr>
              <w:t>66.000,00</w:t>
            </w:r>
          </w:p>
        </w:tc>
      </w:tr>
      <w:tr>
        <w:trPr>
          <w:trHeight w:val="269" w:hRule="atLeast"/>
        </w:trPr>
        <w:tc>
          <w:tcPr>
            <w:tcW w:w="958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VALOR TOTAL ESTIMADO: R$ 282.244,30 (duzentos e oitenta e dois mil duzentos e quarenta e quatro reais e trinta centavos)</w:t>
            </w:r>
          </w:p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1.2. O prazo de vigência da contratação será de 12 (doze) meses contados do(a) </w:t>
      </w:r>
      <w:r>
        <w:rPr>
          <w:rFonts w:cs="Arial" w:ascii="Verdana" w:hAnsi="Verdana"/>
          <w:bCs/>
          <w:iCs/>
          <w:color w:val="000000"/>
          <w:sz w:val="22"/>
          <w:szCs w:val="22"/>
        </w:rPr>
        <w:t xml:space="preserve">a partir da publicação </w:t>
      </w:r>
      <w:r>
        <w:rPr>
          <w:rFonts w:eastAsia="Times New Roman" w:cs="Arial" w:ascii="Verdana" w:hAnsi="Verdana"/>
          <w:bCs/>
          <w:iCs/>
          <w:color w:val="000000"/>
          <w:kern w:val="0"/>
          <w:sz w:val="22"/>
          <w:szCs w:val="22"/>
          <w:lang w:val="pt-BR" w:eastAsia="pt-BR" w:bidi="ar-SA"/>
        </w:rPr>
        <w:t>da Ata de Registro de Preços</w:t>
      </w:r>
      <w:r>
        <w:rPr>
          <w:rFonts w:cs="Arial" w:ascii="Verdana" w:hAnsi="Verdana"/>
          <w:bCs/>
          <w:iCs/>
          <w:color w:val="000000"/>
          <w:sz w:val="22"/>
          <w:szCs w:val="22"/>
        </w:rPr>
        <w:t>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1.3.</w:t>
      </w:r>
      <w:r>
        <w:rPr>
          <w:rFonts w:eastAsia="Times New Roman" w:cs="Times New Roman" w:ascii="Verdana" w:hAnsi="Verdana"/>
          <w:b/>
          <w:bCs/>
          <w:iCs/>
          <w:color w:val="000000"/>
          <w:sz w:val="22"/>
          <w:szCs w:val="22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O custo estimado total da contratação é de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2"/>
          <w:szCs w:val="22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R$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282.244,30 (duzentos e oitenta e dois mil duzentos e quarenta e quatro reais e trinta centavos).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zh-CN" w:bidi="ar-SA"/>
        </w:rPr>
        <w:t>Para fins de classificação, será considerado o menor preço por item.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conforme custos unitários apostos nas planilhas includas nos autos pela requerente e no quadro comparativo de preços simples em anexo.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 xml:space="preserve">2. DESCRIÇÃO DA NECESSIDADE DA CONTRATAÇÃO 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auto"/>
          <w:sz w:val="22"/>
          <w:szCs w:val="22"/>
        </w:rPr>
        <w:t>2.1.</w:t>
      </w:r>
      <w:r>
        <w:rPr>
          <w:rFonts w:eastAsia="Arial" w:cs="Arial" w:ascii="Verdana" w:hAnsi="Verdana"/>
          <w:b w:val="false"/>
          <w:bCs w:val="false"/>
          <w:color w:val="auto"/>
          <w:sz w:val="22"/>
          <w:szCs w:val="22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auto"/>
          <w:sz w:val="22"/>
          <w:szCs w:val="22"/>
        </w:rPr>
        <w:t>A aquisição de materiais de construção é essencial para a manutenção e execução de obras públicas, reformas e adequações de prédios municipais, estradas e outros espaços públicos. O registro de preços possibilita a padronização dos insumos e a previsibilidade orçamentária.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auto"/>
          <w:sz w:val="22"/>
          <w:szCs w:val="22"/>
        </w:rPr>
        <w:t xml:space="preserve">2.2. </w:t>
      </w:r>
      <w:r>
        <w:rPr>
          <w:rFonts w:eastAsia="Arial" w:cs="Times New Roman" w:ascii="Verdana" w:hAnsi="Verdana"/>
          <w:b w:val="false"/>
          <w:bCs w:val="false"/>
          <w:color w:val="auto"/>
          <w:sz w:val="22"/>
          <w:szCs w:val="22"/>
        </w:rPr>
        <w:t>A compra dos materiais, justifica-se devido a falta dos mesmos no almoxarifado central e da grande necessidade diária para realização de reparos e manutenções das instalações de Unidades Administrativas e operacionais da Prefeitura.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auto"/>
          <w:sz w:val="22"/>
          <w:szCs w:val="22"/>
        </w:rPr>
        <w:t>2.3. R</w:t>
      </w:r>
      <w:r>
        <w:rPr>
          <w:rFonts w:eastAsia="Arial" w:cs="Times New Roman" w:ascii="Verdana" w:hAnsi="Verdana"/>
          <w:b w:val="false"/>
          <w:bCs w:val="false"/>
          <w:color w:val="000000"/>
          <w:sz w:val="22"/>
          <w:szCs w:val="22"/>
          <w:shd w:fill="auto" w:val="clear"/>
        </w:rPr>
        <w:t>esta evidenciado o interesse público da efetividade da contratação, que deverá ser acompanhada e fiscalizada por esta administração. O interesse público na contratação será alcançado quando os servidores puderem utilizar os materiais nas suas atividades laborais diárias, sem problemas constantes da falta, além de proporcionar economicidade e rapidez nas ações realizadas.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bCs/>
          <w:color w:val="000000"/>
          <w:sz w:val="22"/>
          <w:szCs w:val="22"/>
          <w:shd w:fill="auto" w:val="clear"/>
        </w:rPr>
      </w:pPr>
      <w:r>
        <w:rPr>
          <w:rFonts w:eastAsia="Arial" w:cs="Arial" w:ascii="Verdana" w:hAnsi="Verdana"/>
          <w:b/>
          <w:bCs/>
          <w:color w:val="000000"/>
          <w:sz w:val="22"/>
          <w:szCs w:val="22"/>
          <w:shd w:fill="auto" w:val="clear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35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  <w:shd w:fill="auto" w:val="clear"/>
        </w:rPr>
        <w:t>3. DESCRIÇÃO DA SOLUÇÃO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3.1 </w:t>
      </w: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2"/>
          <w:szCs w:val="22"/>
          <w:shd w:fill="auto" w:val="clear"/>
          <w:lang w:val="pt-BR" w:eastAsia="zh-CN" w:bidi="ar-SA"/>
        </w:rPr>
        <w:t>Após uma análise das opções disponíveis, foi possível identificar a solução mais vantajosa. A solução proposta para a aquisição de materiais de construção, tem como objetivo atender às necessidades da Prefeitura com maior agilidade, racionalização dos processos de aquisição, economia de escala e redução de custos e maior controle e previsibilidade de gastos.</w:t>
      </w:r>
    </w:p>
    <w:p>
      <w:pPr>
        <w:pStyle w:val="Normal"/>
        <w:spacing w:lineRule="auto" w:line="360" w:before="0" w:after="0"/>
        <w:jc w:val="both"/>
        <w:rPr>
          <w:rFonts w:ascii="Verdana" w:hAnsi="Verdana" w:eastAsia="Arial" w:cs="Arial"/>
          <w:b w:val="false"/>
          <w:bCs w:val="false"/>
          <w:color w:val="auto"/>
          <w:kern w:val="0"/>
          <w:sz w:val="22"/>
          <w:szCs w:val="22"/>
          <w:highlight w:val="none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zh-CN" w:bidi="ar-SA"/>
        </w:rPr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  <w:shd w:fill="auto" w:val="clear"/>
        </w:rPr>
        <w:t>4. REQUISITOS DA CONTRATAÇÃO</w:t>
      </w:r>
    </w:p>
    <w:p>
      <w:pPr>
        <w:pStyle w:val="Normal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4.1</w:t>
      </w:r>
      <w:r>
        <w:rPr>
          <w:rFonts w:ascii="Verdana" w:hAnsi="Verdana"/>
          <w:b w:val="false"/>
          <w:bCs w:val="false"/>
          <w:sz w:val="22"/>
          <w:szCs w:val="22"/>
        </w:rPr>
        <w:t>. O produto deverá ser entregue nas mesmas marcas indicadas nas propostas de preços vencedoras do certame;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4.2. Os produtos a serem entregues deverão ser de ótima qualidade, atender às especificações técnicas exigidas e obedecer rigorosamente: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a) às normas e especificações constantes neste Termo de Referência; 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b) às normas da ANVISA e INMETRO, conforme especificação e necessidade de cada produto; 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c) às normas internacionais consagradas, na falta das normas da ABNT; 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d) às prescrições e recomendações dos fabricantes; 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4.3. O produto entregue deverá ser novo, não se admitindo em hipótese alguma o fornecimento de alternativo, estando adequadamente embalado de forma a preservar suas características originais; </w:t>
      </w:r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4.4. Constatadas irregularidades nos entrega, a Prefeitura Municipal de São Gabriel da Palha poderá:</w:t>
      </w:r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4.4.1. Se disser respeito à especificação, rejeitá-lo no todo ou em parte, determinando sua substituição ou cancelando em parte ou totalmente a ordem de fornecimento, sem prejuízo das penalidades cabíveis;</w:t>
      </w:r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4.4.2.</w:t>
      </w:r>
      <w:r>
        <w:rPr>
          <w:rFonts w:ascii="Verdana" w:hAnsi="Verdana"/>
          <w:b w:val="false"/>
          <w:bCs w:val="false"/>
          <w:sz w:val="22"/>
          <w:szCs w:val="22"/>
        </w:rPr>
        <w:t xml:space="preserve"> Se disser respeito à diferença de quantidade ou de partes, determinar sua compleme</w:t>
      </w:r>
      <w:r>
        <w:rPr>
          <w:rFonts w:ascii="Verdana" w:hAnsi="Verdana"/>
          <w:sz w:val="22"/>
          <w:szCs w:val="22"/>
        </w:rPr>
        <w:t>ntação ou cancelar em parte ou totalmente a ordem de fornecimento, sem prejuízo das penalidades cabíveis;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sz w:val="22"/>
          <w:szCs w:val="22"/>
          <w:shd w:fill="FFFFFF" w:val="clear"/>
        </w:rPr>
        <w:t>4.5. Não serão aceitos materiais fora das especificações constantes neste Termo de Referência.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sz w:val="22"/>
          <w:szCs w:val="22"/>
          <w:shd w:fill="FFFFFF" w:val="clear"/>
        </w:rPr>
        <w:t>4.6. OS MATERIAIS DEVERÃO SER ENTREGUES NO PARQUE DE ARTEFATOS E OFICINA MECÂNICA.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  <w:shd w:fill="auto" w:val="clear"/>
        </w:rPr>
        <w:t>4.7.</w:t>
      </w:r>
      <w:r>
        <w:rPr>
          <w:rFonts w:ascii="Verdana" w:hAnsi="Verdana"/>
          <w:b w:val="false"/>
          <w:bCs w:val="false"/>
          <w:sz w:val="22"/>
          <w:szCs w:val="22"/>
          <w:shd w:fill="auto" w:val="clear"/>
        </w:rPr>
        <w:t xml:space="preserve"> </w:t>
      </w:r>
      <w:r>
        <w:rPr>
          <w:rFonts w:ascii="Verdana" w:hAnsi="Verdana"/>
          <w:sz w:val="22"/>
          <w:szCs w:val="22"/>
          <w:shd w:fill="auto" w:val="clear"/>
        </w:rPr>
        <w:t>A contratação deverá obedecer, no que couber, ao disposto na Lei n.º 14.133/2021 e suas alterações e demais legislações correlatas.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  <w:shd w:fill="auto" w:val="clear"/>
        </w:rPr>
        <w:t xml:space="preserve">5. MODELO DE EXECUÇÃO CONTRATUAL 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5.1. O prazo de vigência da ata de registro de preços será de 12 (doze) meses </w:t>
      </w:r>
      <w:r>
        <w:rPr>
          <w:rFonts w:cs="Arial" w:ascii="Verdana" w:hAnsi="Verdana"/>
          <w:bCs/>
          <w:iCs/>
          <w:color w:val="000000"/>
          <w:sz w:val="22"/>
          <w:szCs w:val="22"/>
          <w:shd w:fill="auto" w:val="clear"/>
        </w:rPr>
        <w:t xml:space="preserve">a partir da publicação </w:t>
      </w:r>
      <w:r>
        <w:rPr>
          <w:rFonts w:eastAsia="Times New Roman" w:cs="Arial" w:ascii="Verdana" w:hAnsi="Verdana"/>
          <w:bCs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da Ata de Registro de Preços. A entrega será 15 dias </w:t>
      </w: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apos </w:t>
      </w:r>
      <w:r>
        <w:rPr>
          <w:rFonts w:eastAsia="Times New Roman" w:cs="Times New Roman" w:ascii="Verdana" w:hAnsi="Verdana"/>
          <w:color w:val="000000"/>
          <w:kern w:val="0"/>
          <w:sz w:val="22"/>
          <w:szCs w:val="22"/>
          <w:shd w:fill="auto" w:val="clear"/>
          <w:lang w:val="pt-BR" w:eastAsia="pt-BR" w:bidi="ar-SA"/>
        </w:rPr>
        <w:t>autorização</w:t>
      </w: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 de compras/execução emitida pelo Departamento de Compras e Contratos.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 xml:space="preserve">LOCAL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zh-CN" w:bidi="ar-SA"/>
        </w:rPr>
        <w:t>ENTREGA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Rua: Daniel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 xml:space="preserve"> Comboni </w:t>
      </w:r>
      <w:r>
        <w:rPr>
          <w:rFonts w:cs="Arial" w:ascii="Verdana" w:hAnsi="Verdana"/>
          <w:b w:val="false"/>
          <w:bCs w:val="false"/>
          <w:sz w:val="22"/>
          <w:szCs w:val="22"/>
        </w:rPr>
        <w:t>– Bairro Vila Comboni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 xml:space="preserve">Departamento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Parque de Artefatos e Oficina Mecânica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São Gabriel da Palha – ES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CEP 29.7800-000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5.3. CONTATO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Tel: (27) 99982-4121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obras</w:t>
      </w:r>
      <w:r>
        <w:rPr>
          <w:rFonts w:cs="Arial" w:ascii="Verdana" w:hAnsi="Verdana"/>
          <w:b w:val="false"/>
          <w:bCs w:val="false"/>
          <w:sz w:val="22"/>
          <w:szCs w:val="22"/>
        </w:rPr>
        <w:t>@saogabriel.es.gov.br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 xml:space="preserve">Responsável: 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Obras e Desenvolvimento Urbano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5.4. A ata de registro de preços deverá ser executada fielmente pelas partes, de acordo com as cláusulas avençadas e as normas da Lei nº 14.133, de 2021, e cada parte responderá pelas consequências de sua inexecução total ou parcial.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5.5. As comunicações entre o órgão ou entidade e a contratada devem ser realizadas por escrito sempre que o ato exigir tal formalidade, admitindo-se o uso de mensagem eletrônica para esse fim.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5.6. O órgão ou entidade poderá convocar representante da empresa para adoção de providências que devam ser cumpridas de imediato.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5.7.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 A conferência/fiscalização deverá ser acompanhada por um servidor </w:t>
      </w:r>
      <w:r>
        <w:rPr>
          <w:rFonts w:eastAsia="Times New Roman" w:cs="Times New Roman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da secretaria requisitante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, a fim de zelar pela qualidade e quantidade dos materiais entregues.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ivel1"/>
        <w:spacing w:lineRule="auto" w:line="360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color w:val="000000"/>
          <w:sz w:val="22"/>
          <w:szCs w:val="22"/>
        </w:rPr>
        <w:t>6. MODELO DE GESTÃO DO CONTRATO/ATA DE REGISTRO DE PREÇOS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ab/>
        <w:t>6.1. ROTINAS DE FISCALIZAÇÃO CONTRATUAL</w:t>
      </w:r>
    </w:p>
    <w:p>
      <w:pPr>
        <w:pStyle w:val="Nivel2"/>
        <w:spacing w:lineRule="auto" w:line="360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6.1.1. </w:t>
      </w:r>
      <w:r>
        <w:rPr>
          <w:rFonts w:cs="Times New Roman" w:ascii="Verdana" w:hAnsi="Verdana"/>
          <w:b w:val="false"/>
          <w:bCs w:val="false"/>
          <w:color w:val="000000"/>
          <w:sz w:val="22"/>
          <w:szCs w:val="22"/>
        </w:rPr>
        <w:t>A contratação será formalizada com a assinatura de Ata de Registro de preços.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6.1.2. A entrega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2"/>
          <w:szCs w:val="22"/>
        </w:rPr>
        <w:t>dos itens</w:t>
      </w: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 deverá ser acompanhada por um servidor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2"/>
          <w:szCs w:val="22"/>
        </w:rPr>
        <w:t>da secretaria requisitante</w:t>
      </w:r>
      <w:r>
        <w:rPr>
          <w:rFonts w:ascii="Verdana" w:hAnsi="Verdana"/>
          <w:b w:val="false"/>
          <w:bCs w:val="false"/>
          <w:color w:val="000000"/>
          <w:sz w:val="22"/>
          <w:szCs w:val="22"/>
        </w:rPr>
        <w:t>, a fim de zelar pela qualidade e quantidade dos itens a serem adquiridos.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6.1.4. Somente o contratado será responsável pelos encargos trabalhistas, previdenciários, fiscais e comerciais resultantes da entrega dos materiais.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>
      <w:pPr>
        <w:pStyle w:val="Nivel2"/>
        <w:spacing w:lineRule="auto" w:line="360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 w:val="false"/>
          <w:bCs w:val="false"/>
          <w:color w:val="000000"/>
          <w:sz w:val="22"/>
          <w:szCs w:val="22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>
      <w:pPr>
        <w:pStyle w:val="ListParagraph"/>
        <w:spacing w:lineRule="auto" w:line="240"/>
        <w:ind w:hanging="0" w:left="-22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2"/>
          <w:szCs w:val="22"/>
          <w:shd w:fill="auto" w:val="clear"/>
        </w:rPr>
        <w:t>7. OBRIGAÇÕES DA CONTRATANTE</w:t>
      </w:r>
    </w:p>
    <w:p>
      <w:pPr>
        <w:pStyle w:val="Normal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Receber os objetos no prazo e condições estabelecidas neste Termo de Referência e seus anexos.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7.2. 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7.6.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 </w:t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0" w:after="0"/>
        <w:ind w:hanging="0" w:left="0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2"/>
          <w:szCs w:val="22"/>
          <w:shd w:fill="auto" w:val="clear"/>
        </w:rPr>
        <w:t>8. OBRIGAÇÕES DA CONTRATADA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8.2. Efetuar a entrega do objeto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Comunicar à Contratante, no prazo máximo de 12 (doze) horas que antecede a data da entrega/execução, os motivos que impossibilitem o cumprimento do prazo previsto, com a devida comprovação.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a 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8.9.Durante a execução da ata de registro de preços, a CONTRATADA deverá:</w:t>
      </w:r>
      <w:r>
        <w:rPr>
          <w:rFonts w:ascii="Verdana" w:hAnsi="Verdana"/>
          <w:b w:val="false"/>
          <w:bCs w:val="false"/>
          <w:color w:val="000000"/>
          <w:sz w:val="22"/>
          <w:szCs w:val="22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das Secretarias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na entrega dos materiais, nas quantidades e especificações deste 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2.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</w:rPr>
        <w:t>A nota fiscal deverá ser acompanhada pelas Certidões de Regularidades Fiscais.</w:t>
      </w:r>
      <w:bookmarkStart w:id="0" w:name="art1222"/>
      <w:bookmarkStart w:id="1" w:name="art122%252525252525252525252525252525252"/>
      <w:bookmarkStart w:id="2" w:name="art122%252525252525252525252525252525251"/>
      <w:bookmarkStart w:id="3" w:name="art122%252525252525252525252525252525253"/>
      <w:bookmarkStart w:id="4" w:name="_GoBack2"/>
      <w:bookmarkStart w:id="5" w:name="art121"/>
      <w:bookmarkStart w:id="6" w:name="art1232"/>
      <w:bookmarkStart w:id="7" w:name="art12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2"/>
          <w:szCs w:val="22"/>
        </w:rPr>
        <w:t>9. DO CONTROLE E FISCALIZAÇÃO DA EXECUÇÃO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9.1. Será designado representante para acompanhar e fiscalizar a entrega dos materiais,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9.3. O representante da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secretaria requisitante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anotará em registro próprio todas as ocorrências relacionadas com a execução da ata de registro de preços, indicando dia, mês e ano, bem como o nome dos funcionários eventualmente envolvidos, determinando o que</w:t>
      </w:r>
      <w:r>
        <w:rPr>
          <w:rFonts w:ascii="Verdana" w:hAnsi="Verdana"/>
          <w:b w:val="false"/>
          <w:bCs w:val="false"/>
          <w:color w:val="000000"/>
          <w:sz w:val="22"/>
          <w:szCs w:val="22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 necessário à regularização das falhas ou </w:t>
      </w:r>
      <w:r>
        <w:rPr>
          <w:rFonts w:ascii="Verdana" w:hAnsi="Verdana"/>
          <w:color w:val="000000"/>
          <w:sz w:val="22"/>
          <w:szCs w:val="22"/>
        </w:rPr>
        <w:t>defeitos observados e encaminhando os apontamentos à autoridade competente para as providências cabíveis.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>10. CRITÉRIOS DE PAGAMENTO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2"/>
          <w:szCs w:val="22"/>
          <w:lang w:eastAsia="en-US"/>
        </w:rPr>
        <w:t>(30) trinta</w:t>
      </w:r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36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Style8"/>
          <w:sz w:val="22"/>
          <w:u w:val="none"/>
          <w:b w:val="false"/>
          <w:szCs w:val="22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Style8"/>
          <w:sz w:val="22"/>
          <w:u w:val="none"/>
          <w:b w:val="false"/>
          <w:szCs w:val="22"/>
          <w:bCs w:val="false"/>
          <w:rFonts w:ascii="Verdana" w:hAnsi="Verdana"/>
          <w:color w:val="000000"/>
        </w:rPr>
        <w:fldChar w:fldCharType="separate"/>
      </w:r>
      <w:r>
        <w:rPr>
          <w:rStyle w:val="Style8"/>
          <w:rFonts w:ascii="Verdana" w:hAnsi="Verdana"/>
          <w:b w:val="false"/>
          <w:bCs w:val="false"/>
          <w:color w:val="000000"/>
          <w:sz w:val="22"/>
          <w:szCs w:val="22"/>
          <w:u w:val="none"/>
        </w:rPr>
        <w:t>inciso II do art. 75 da Lei nº 14.133, de 2021</w:t>
      </w:r>
      <w:r>
        <w:rPr>
          <w:rStyle w:val="Style8"/>
          <w:sz w:val="22"/>
          <w:u w:val="none"/>
          <w:b w:val="false"/>
          <w:szCs w:val="22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2"/>
          <w:szCs w:val="22"/>
          <w:u w:val="none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36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10.5. A</w:t>
      </w:r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"/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10.8. Será considerada data do pagamento o dia em que constar como emitida a ordem bancária para pagamento.</w:t>
      </w:r>
    </w:p>
    <w:p>
      <w:pPr>
        <w:pStyle w:val="Normal"/>
        <w:spacing w:lineRule="auto" w:line="360"/>
        <w:ind w:hanging="0" w:left="-79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10.9. Quando do pagamento, será efetuada a retenção tributária prevista na legislação aplicável.</w:t>
      </w:r>
    </w:p>
    <w:p>
      <w:pPr>
        <w:pStyle w:val="Normal"/>
        <w:spacing w:lineRule="auto" w:line="360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Style8"/>
            <w:rFonts w:ascii="Verdana" w:hAnsi="Verdana"/>
            <w:b w:val="false"/>
            <w:bCs w:val="false"/>
            <w:color w:val="000000"/>
            <w:sz w:val="22"/>
            <w:szCs w:val="22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10.11. 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color w:val="000000"/>
          <w:sz w:val="22"/>
          <w:szCs w:val="22"/>
        </w:rPr>
        <w:t xml:space="preserve">VM = VF </w:t>
      </w:r>
      <w:r>
        <w:rPr>
          <w:rFonts w:cs="Verdana" w:ascii="Verdana" w:hAnsi="Verdana"/>
          <w:color w:val="000000"/>
          <w:sz w:val="22"/>
          <w:szCs w:val="22"/>
          <w:vertAlign w:val="subscript"/>
        </w:rPr>
        <w:t>*</w:t>
      </w:r>
      <w:r>
        <w:rPr>
          <w:rFonts w:cs="Verdana" w:ascii="Verdana" w:hAnsi="Verdana"/>
          <w:color w:val="000000"/>
          <w:sz w:val="22"/>
          <w:szCs w:val="22"/>
        </w:rPr>
        <w:t xml:space="preserve"> </w:t>
      </w:r>
      <w:r>
        <w:rPr>
          <w:rFonts w:cs="Verdana" w:ascii="Verdana" w:hAnsi="Verdana"/>
          <w:color w:val="000000"/>
          <w:sz w:val="22"/>
          <w:szCs w:val="22"/>
          <w:u w:val="single"/>
        </w:rPr>
        <w:t>0,33</w:t>
      </w:r>
      <w:r>
        <w:rPr>
          <w:rFonts w:cs="Verdana" w:ascii="Verdana" w:hAnsi="Verdana"/>
          <w:color w:val="000000"/>
          <w:sz w:val="22"/>
          <w:szCs w:val="22"/>
        </w:rPr>
        <w:t xml:space="preserve"> </w:t>
      </w:r>
      <w:r>
        <w:rPr>
          <w:rFonts w:cs="Verdana" w:ascii="Verdana" w:hAnsi="Verdana"/>
          <w:color w:val="000000"/>
          <w:sz w:val="22"/>
          <w:szCs w:val="22"/>
          <w:vertAlign w:val="subscript"/>
        </w:rPr>
        <w:t>*</w:t>
      </w:r>
      <w:r>
        <w:rPr>
          <w:rFonts w:cs="Verdana" w:ascii="Verdana" w:hAnsi="Verdana"/>
          <w:color w:val="000000"/>
          <w:sz w:val="22"/>
          <w:szCs w:val="22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rFonts w:ascii="Verdana" w:hAnsi="Verdana"/>
          <w:sz w:val="22"/>
          <w:szCs w:val="22"/>
        </w:rPr>
      </w:pPr>
      <w:r>
        <w:rPr>
          <w:rFonts w:eastAsia="Verdana" w:cs="Verdana" w:ascii="Verdana" w:hAnsi="Verdana"/>
          <w:color w:val="000000"/>
          <w:sz w:val="22"/>
          <w:szCs w:val="22"/>
        </w:rPr>
        <w:t xml:space="preserve">        </w:t>
      </w:r>
      <w:r>
        <w:rPr>
          <w:rFonts w:cs="Verdana" w:ascii="Verdana" w:hAnsi="Verdana"/>
          <w:color w:val="000000"/>
          <w:sz w:val="22"/>
          <w:szCs w:val="22"/>
        </w:rPr>
        <w:t>100</w:t>
      </w:r>
    </w:p>
    <w:p>
      <w:pPr>
        <w:pStyle w:val="Normal"/>
        <w:suppressAutoHyphens w:val="false"/>
        <w:spacing w:lineRule="auto" w:line="360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</w:rPr>
        <w:t xml:space="preserve">Onde: </w:t>
      </w:r>
    </w:p>
    <w:p>
      <w:pPr>
        <w:pStyle w:val="Normal"/>
        <w:suppressAutoHyphens w:val="false"/>
        <w:spacing w:lineRule="auto" w:line="360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</w:rPr>
        <w:t xml:space="preserve">VM = Valor da Multa Financeira; </w:t>
      </w:r>
    </w:p>
    <w:p>
      <w:pPr>
        <w:pStyle w:val="Normal"/>
        <w:suppressAutoHyphens w:val="false"/>
        <w:spacing w:lineRule="auto" w:line="360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color w:val="000000"/>
          <w:sz w:val="22"/>
          <w:szCs w:val="22"/>
        </w:rPr>
        <w:t>ND = Número de dias em atraso.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2"/>
          <w:szCs w:val="22"/>
        </w:rPr>
        <w:t xml:space="preserve">10.12..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2"/>
          <w:szCs w:val="22"/>
        </w:rPr>
        <w:t>10.13.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2"/>
          <w:szCs w:val="22"/>
        </w:rPr>
        <w:t xml:space="preserve">10.14.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lang w:bidi="ar-SA"/>
        </w:rPr>
        <w:t xml:space="preserve">10.15.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Para a efetivação do pagamento, a CONTRATADA deverá manter as mesmas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  <w:lang w:eastAsia="pt-BR"/>
        </w:rPr>
        <w:t>condições relativas à proposta de preço e a habilitação;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2"/>
          <w:szCs w:val="22"/>
        </w:rPr>
        <w:t>11</w:t>
      </w:r>
      <w:r>
        <w:rPr>
          <w:rFonts w:ascii="Verdana" w:hAnsi="Verdana"/>
          <w:b/>
          <w:bCs/>
          <w:iCs/>
          <w:color w:val="000000"/>
          <w:sz w:val="22"/>
          <w:szCs w:val="22"/>
        </w:rPr>
        <w:t>. DAS SANÇÕES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 Comete infração administrativa o fornecedor que cometer quaisquer das infrações previstas no art. 155 da Lei nº 14.133, de 2021, quais sejam: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.1.1. Dar causa à inexecução parcial do contrato.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.1.3. Dar causa à inexecução total;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.1.4. Deixar de entregar a documentação exigida para o certame.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.1.5. Não manter a proposta, salvo em decorrência de fato superveniente devidamente justificado.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.1.7. Ensejar o retardamento da execução ou da entrega do objeto sem motivo justificado,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.1.8. Apresentar declaração ou documentação falsa exigida para o certame ou prestar declaração falsa durante a licitação ou 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11.1.9. Fraudar a licitação ou praticar ato fraudulento na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.1.10. Comportar-se de modo inidôneo ou cometer fraude de qualquer natureza.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.1.10.1. Considera-se comportamento inidôneo, entre outros, a declaração falsa quanto</w:t>
      </w:r>
      <w:r>
        <w:rPr>
          <w:rFonts w:ascii="Verdana" w:hAnsi="Verdana"/>
          <w:iCs/>
          <w:color w:val="000000"/>
          <w:sz w:val="22"/>
          <w:szCs w:val="22"/>
        </w:rPr>
        <w:t xml:space="preserve"> às condições de participação, quanto ao enquadramento como ME/EPP ou o conluio entre os fornecedores, em qualquer momento da licitação, mesmo após o encerramento da fase de lances.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.1.11. Praticar atos ilícitos com vistas a frustrar os objetivos deste certame.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.1.12. Praticar ato lesivo previsto no art. 5º da Lei nº 12.846, de 1º de agosto de 2013.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11.1.13.</w:t>
      </w:r>
      <w:r>
        <w:rPr>
          <w:rFonts w:ascii="Verdana" w:hAnsi="Verdana"/>
          <w:iCs/>
          <w:color w:val="000000"/>
          <w:sz w:val="22"/>
          <w:szCs w:val="22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</w:t>
      </w:r>
      <w:r>
        <w:rPr>
          <w:rFonts w:ascii="Verdana" w:hAnsi="Verdana"/>
          <w:iCs/>
          <w:color w:val="000000"/>
          <w:sz w:val="22"/>
          <w:szCs w:val="22"/>
        </w:rPr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360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   </w:t>
      </w:r>
      <w:r>
        <w:rPr>
          <w:rFonts w:ascii="Verdana" w:hAnsi="Verdana"/>
          <w:iCs/>
          <w:color w:val="000000"/>
          <w:sz w:val="22"/>
          <w:szCs w:val="22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sz w:val="22"/>
          <w:szCs w:val="22"/>
        </w:rPr>
        <w:t>11</w:t>
      </w:r>
      <w:r>
        <w:rPr>
          <w:rFonts w:ascii="Verdana" w:hAnsi="Verdana"/>
          <w:iCs/>
          <w:color w:val="000000"/>
          <w:sz w:val="22"/>
          <w:szCs w:val="22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360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           </w:t>
      </w:r>
      <w:r>
        <w:rPr>
          <w:rFonts w:ascii="Verdana" w:hAnsi="Verdana"/>
          <w:iCs/>
          <w:color w:val="000000"/>
          <w:sz w:val="22"/>
          <w:szCs w:val="22"/>
        </w:rPr>
        <w:t>b.1) O valor da multa poderá ser descontado das faturas devidas à CONTRATADA;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            </w:t>
      </w:r>
      <w:r>
        <w:rPr>
          <w:rFonts w:ascii="Verdana" w:hAnsi="Verdana"/>
          <w:iCs/>
          <w:color w:val="000000"/>
          <w:sz w:val="22"/>
          <w:szCs w:val="22"/>
        </w:rPr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</w:t>
      </w:r>
      <w:r>
        <w:rPr>
          <w:rFonts w:ascii="Verdana" w:hAnsi="Verdana"/>
          <w:iCs/>
          <w:color w:val="000000"/>
          <w:sz w:val="22"/>
          <w:szCs w:val="22"/>
        </w:rPr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</w:t>
      </w:r>
      <w:r>
        <w:rPr>
          <w:rFonts w:ascii="Verdana" w:hAnsi="Verdana"/>
          <w:iCs/>
          <w:color w:val="000000"/>
          <w:sz w:val="22"/>
          <w:szCs w:val="22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.3. Na aplicação das sanções serão considerados: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.3.1. A natureza e a gravidade da infração cometida.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11.3.2. As peculiaridades do caso concreto.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11.3.3. As circunstâncias agravantes ou atenuantes.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11.3.4. Os danos que dela provierem para a Administração Pública.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.3.5.</w:t>
      </w:r>
      <w:r>
        <w:rPr>
          <w:rFonts w:ascii="Verdana" w:hAnsi="Verdana"/>
          <w:iCs/>
          <w:color w:val="000000"/>
          <w:sz w:val="22"/>
          <w:szCs w:val="22"/>
        </w:rPr>
        <w:t xml:space="preserve"> A implantação ou o aperfeiçoamento de programa de integridade, conforme normas e orientações dos órgãos de controle.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  <w:lang w:eastAsia="en-US"/>
        </w:rPr>
        <w:t xml:space="preserve">11.5. </w:t>
      </w:r>
      <w:r>
        <w:rPr>
          <w:rFonts w:ascii="Verdana" w:hAnsi="Verdana"/>
          <w:iCs/>
          <w:color w:val="000000"/>
          <w:sz w:val="22"/>
          <w:szCs w:val="22"/>
          <w:lang w:eastAsia="en-US"/>
        </w:rPr>
        <w:t>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ind w:hanging="0" w:left="-79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  <w:lang w:eastAsia="en-US"/>
        </w:rPr>
        <w:t>12. DA HABILITAÇÃO</w:t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360" w:before="57" w:after="57"/>
        <w:ind w:hanging="0" w:left="-57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a) SICAF;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);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).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36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 xml:space="preserve"> responsáveis/proibidos-de-contratar/).</w:t>
      </w:r>
    </w:p>
    <w:p>
      <w:pPr>
        <w:pStyle w:val="Normal"/>
        <w:spacing w:lineRule="auto" w:line="36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);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 xml:space="preserve">12.1.2. </w:t>
      </w:r>
      <w:r>
        <w:rPr>
          <w:rFonts w:cs="Verdana" w:ascii="Verdana" w:hAnsi="Verdana"/>
          <w:color w:val="000000"/>
          <w:sz w:val="22"/>
          <w:szCs w:val="22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12.1.2.3. O licitante será convocado para manifestação previamente à sua desclassificação.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 xml:space="preserve">12.2 </w:t>
      </w: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Caso atendidas as condições de participação, 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12.2.3 O descumprimento do subitem acima implicará a inabilitação do licitante, exceto se a co</w:t>
      </w:r>
      <w:r>
        <w:rPr>
          <w:rFonts w:cs="Verdana" w:ascii="Verdana" w:hAnsi="Verdana"/>
          <w:color w:val="000000"/>
          <w:sz w:val="22"/>
          <w:szCs w:val="22"/>
        </w:rPr>
        <w:t>nsulta aos sítios eletrônicos oficiais emissores de certidões feita pelo Pregoeiro lograr êxito em encontrar a(s) certidão(ões) válida(s), conforme art. 43, §3º, do Decreto 10.024, de 2019.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12.5 Não serão aceitos documentos de habilitação com indicação de CNPJ/CPF diferentes, salvo aqueles legalmente permitidos.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12.7 R</w:t>
      </w:r>
      <w:r>
        <w:rPr>
          <w:rFonts w:cs="Verdana" w:ascii="Verdana" w:hAnsi="Verdana"/>
          <w:color w:val="000000"/>
          <w:sz w:val="22"/>
          <w:szCs w:val="22"/>
        </w:rPr>
        <w:t>essalvado o disposto no item 5.3, os licitantes deverão encaminhar, nos termos deste Edital, a documentação relacionada nos itens a seguir, para fins de habilitação: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40" w:before="0" w:after="0"/>
        <w:ind w:hanging="0" w:left="0" w:right="0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/>
          <w:bCs/>
          <w:color w:val="000000"/>
          <w:sz w:val="22"/>
          <w:szCs w:val="22"/>
        </w:rPr>
        <w:tab/>
        <w:t>12.8 Habilitação jurídica: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 xml:space="preserve">12.8.6 No </w:t>
      </w:r>
      <w:r>
        <w:rPr>
          <w:rFonts w:cs="Verdana" w:ascii="Verdana" w:hAnsi="Verdana"/>
          <w:bCs/>
          <w:color w:val="000000"/>
          <w:sz w:val="22"/>
          <w:szCs w:val="22"/>
        </w:rPr>
        <w:t>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12.8.7 No caso de empresa ou sociedade estrangeira em funcionamento no País: decreto de autorização;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12.8.8</w:t>
      </w:r>
      <w:r>
        <w:rPr>
          <w:rFonts w:cs="Verdana" w:ascii="Verdana" w:hAnsi="Verdana"/>
          <w:bCs/>
          <w:color w:val="000000"/>
          <w:sz w:val="22"/>
          <w:szCs w:val="22"/>
        </w:rPr>
        <w:t xml:space="preserve"> Os documentos acima deverão estar acompanhados de todas as alterações ou da consolidação respectiva;</w:t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/>
          <w:bCs/>
          <w:color w:val="000000"/>
          <w:sz w:val="22"/>
          <w:szCs w:val="22"/>
        </w:rPr>
        <w:tab/>
        <w:t>12.9 Regularidade fiscal e trabalhista: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/>
        </w:rPr>
        <w:t>12.9.1 Prova de inscrição no Cadastro Nacional de Pessoas Jurídicas ou no Cadastro de Pessoas Físicas, conforme o caso;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/>
        </w:rPr>
        <w:t>12.9.2 Certidão de regularidade junto à fazenda pública Municipal, do domicílio do Licitante;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12.9.3 Certidão de regularidade junto à fazenda pública Estadual, do domicílio do Licitante;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12.9.5 Certidão de regularidade junto ao FGTS;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/>
          <w:color w:val="000000"/>
          <w:sz w:val="22"/>
          <w:szCs w:val="22"/>
        </w:rPr>
        <w:tab/>
        <w:t>12.10 Qualificação Econômico-Financeira</w:t>
      </w:r>
      <w:r>
        <w:rPr>
          <w:rFonts w:cs="Verdana" w:ascii="Verdana" w:hAnsi="Verdana"/>
          <w:color w:val="000000"/>
          <w:sz w:val="22"/>
          <w:szCs w:val="22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12.10.2 Havendo algum prazo de validade estabelecido por cartório na certidão citada na letra anterio</w:t>
      </w:r>
      <w:r>
        <w:rPr>
          <w:rFonts w:cs="Verdana" w:ascii="Verdana" w:hAnsi="Verdana"/>
          <w:color w:val="000000"/>
          <w:sz w:val="22"/>
          <w:szCs w:val="22"/>
        </w:rPr>
        <w:t>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0" w:after="0"/>
        <w:ind w:hanging="0" w:left="-79" w:right="0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2"/>
          <w:szCs w:val="22"/>
          <w:shd w:fill="auto" w:val="clear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0" w:after="0"/>
        <w:ind w:hanging="0" w:left="-79" w:right="0"/>
        <w:jc w:val="both"/>
        <w:rPr>
          <w:rFonts w:ascii="Verdana" w:hAnsi="Verdana" w:cs="Verdana"/>
          <w:b w:val="false"/>
          <w:bCs w:val="false"/>
          <w:iCs/>
          <w:color w:val="000000"/>
          <w:sz w:val="22"/>
          <w:szCs w:val="22"/>
          <w:shd w:fill="auto" w:val="clear"/>
          <w:lang w:eastAsia="en-US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2"/>
          <w:szCs w:val="22"/>
          <w:shd w:fill="auto" w:val="clear"/>
          <w:lang w:eastAsia="en-US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360" w:before="57" w:after="57"/>
        <w:ind w:hanging="0" w:left="-113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 xml:space="preserve">13. </w:t>
      </w:r>
      <w:r>
        <w:rPr>
          <w:rFonts w:cs="Arial" w:ascii="Verdana" w:hAnsi="Verdana"/>
          <w:b/>
          <w:bCs w:val="false"/>
          <w:color w:val="000000"/>
          <w:sz w:val="22"/>
          <w:szCs w:val="22"/>
        </w:rPr>
        <w:t>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overflowPunct w:val="false"/>
        <w:bidi w:val="0"/>
        <w:spacing w:lineRule="auto" w:line="360" w:before="0" w:after="0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>13.1. Não se verifica contratações correlatas ou interdependentes para a viabilidade e contratação desta demanda.</w:t>
      </w:r>
    </w:p>
    <w:p>
      <w:pPr>
        <w:pStyle w:val="Normal"/>
        <w:widowControl/>
        <w:numPr>
          <w:ilvl w:val="0"/>
          <w:numId w:val="0"/>
        </w:numPr>
        <w:suppressAutoHyphens w:val="false"/>
        <w:overflowPunct w:val="false"/>
        <w:bidi w:val="0"/>
        <w:spacing w:lineRule="auto" w:line="240" w:before="0" w:after="0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uppressAutoHyphens w:val="false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14. RESULTADOS PRETENDIDOS COM A CONTRATAÇÃO</w:t>
      </w:r>
    </w:p>
    <w:p>
      <w:pPr>
        <w:pStyle w:val="Padro1"/>
        <w:numPr>
          <w:ilvl w:val="0"/>
          <w:numId w:val="1"/>
        </w:numPr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SimSun;宋体" w:cs="Times New Roman" w:ascii="Verdana" w:hAnsi="Verdana"/>
          <w:color w:val="000000"/>
          <w:kern w:val="2"/>
          <w:sz w:val="22"/>
          <w:szCs w:val="22"/>
          <w:shd w:fill="auto" w:val="clear"/>
          <w:lang w:val="pt-BR" w:eastAsia="zh-CN" w:bidi="hi-IN"/>
        </w:rPr>
        <w:t>Agilidade na aquisição.</w:t>
      </w:r>
    </w:p>
    <w:p>
      <w:pPr>
        <w:pStyle w:val="Padro1"/>
        <w:numPr>
          <w:ilvl w:val="0"/>
          <w:numId w:val="1"/>
        </w:numPr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SimSun;宋体" w:cs="Times New Roman" w:ascii="Verdana" w:hAnsi="Verdana"/>
          <w:color w:val="000000"/>
          <w:kern w:val="2"/>
          <w:sz w:val="22"/>
          <w:szCs w:val="22"/>
          <w:shd w:fill="auto" w:val="clear"/>
          <w:lang w:val="pt-BR" w:eastAsia="zh-CN" w:bidi="hi-IN"/>
        </w:rPr>
        <w:t>Melhor planejamento dos serviços diários.</w:t>
      </w:r>
    </w:p>
    <w:p>
      <w:pPr>
        <w:pStyle w:val="Padro1"/>
        <w:numPr>
          <w:ilvl w:val="0"/>
          <w:numId w:val="1"/>
        </w:numPr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sz w:val="22"/>
          <w:szCs w:val="22"/>
          <w:shd w:fill="auto" w:val="clear"/>
        </w:rPr>
        <w:t>Melhoria no atendimento dos pedidos de todas as Secretarias.</w:t>
      </w:r>
    </w:p>
    <w:p>
      <w:pPr>
        <w:pStyle w:val="Padro1"/>
        <w:numPr>
          <w:ilvl w:val="0"/>
          <w:numId w:val="1"/>
        </w:numPr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zh-CN" w:bidi="ar-SA"/>
        </w:rPr>
        <w:t>Melhoria no atendimento ao cidadão.</w:t>
      </w:r>
    </w:p>
    <w:p>
      <w:pPr>
        <w:pStyle w:val="Padro1"/>
        <w:numPr>
          <w:ilvl w:val="0"/>
          <w:numId w:val="0"/>
        </w:numPr>
        <w:spacing w:lineRule="auto" w:line="360" w:before="0" w:after="0"/>
        <w:ind w:hanging="0" w:left="720"/>
        <w:jc w:val="both"/>
        <w:rPr>
          <w:rFonts w:ascii="Verdana" w:hAnsi="Verdana" w:cs="Arial"/>
          <w:b/>
          <w:color w:val="000000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</w:r>
    </w:p>
    <w:p>
      <w:pPr>
        <w:pStyle w:val="Padro1"/>
        <w:numPr>
          <w:ilvl w:val="0"/>
          <w:numId w:val="0"/>
        </w:numPr>
        <w:spacing w:lineRule="auto" w:line="360" w:before="0" w:after="0"/>
        <w:ind w:hanging="0" w:left="720"/>
        <w:jc w:val="both"/>
        <w:rPr>
          <w:rFonts w:ascii="Verdana" w:hAnsi="Verdana" w:cs="Arial"/>
          <w:b/>
          <w:color w:val="000000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</w:r>
    </w:p>
    <w:p>
      <w:pPr>
        <w:pStyle w:val="Padro1"/>
        <w:numPr>
          <w:ilvl w:val="0"/>
          <w:numId w:val="0"/>
        </w:numPr>
        <w:spacing w:lineRule="auto" w:line="360" w:before="0" w:after="0"/>
        <w:ind w:hanging="0" w:left="720"/>
        <w:jc w:val="both"/>
        <w:rPr>
          <w:rFonts w:ascii="Verdana" w:hAnsi="Verdana" w:cs="Arial"/>
          <w:b/>
          <w:color w:val="000000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15. PROVIDÊNCIAS A SEREM ADOTADAS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ascii="Verdana" w:hAnsi="Verdana"/>
          <w:b w:val="false"/>
          <w:bCs w:val="false"/>
          <w:kern w:val="0"/>
          <w:sz w:val="22"/>
          <w:szCs w:val="22"/>
          <w:shd w:fill="auto" w:val="clear"/>
          <w:lang w:val="pt-BR" w:eastAsia="zh-CN" w:bidi="ar-SA"/>
        </w:rPr>
        <w:t>15.1. A Administração Pública contará com as Secretarias requisitantes responsável por acompanhar a entrega dos produtos, bem como conferência das especificações descritas neste ETP.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Times New Roman"/>
          <w:b w:val="false"/>
          <w:bCs w:val="false"/>
          <w:kern w:val="0"/>
          <w:sz w:val="22"/>
          <w:szCs w:val="22"/>
          <w:shd w:fill="auto" w:val="clear"/>
          <w:lang w:val="pt-BR" w:eastAsia="zh-CN" w:bidi="ar-SA"/>
        </w:rPr>
      </w:pPr>
      <w:r>
        <w:rPr>
          <w:rFonts w:eastAsia="Times New Roman" w:ascii="Verdana" w:hAnsi="Verdana"/>
          <w:b w:val="false"/>
          <w:bCs w:val="false"/>
          <w:kern w:val="0"/>
          <w:sz w:val="22"/>
          <w:szCs w:val="22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2"/>
          <w:szCs w:val="22"/>
          <w:lang w:val="pt-BR" w:eastAsia="zh-CN" w:bidi="ar-SA"/>
        </w:rPr>
        <w:t>16.1. 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17. DECLARAÇÕES DE VIABILIDADE</w:t>
      </w:r>
    </w:p>
    <w:p>
      <w:pPr>
        <w:pStyle w:val="Normal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17.1 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cs="Arial"/>
          <w:color w:val="000000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18. JUSTIFICATIVAS DA VIABILIDADE</w:t>
      </w:r>
    </w:p>
    <w:p>
      <w:pPr>
        <w:pStyle w:val="BodyText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18.1. Diante da necessidade de aquisição regular de materiais de construção, justifica-se a adoção do sistema de registro de preços. Este estudo técnico preliminar subsidiará a elaboração do edital e demais documentos necessários para a licitação. 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 xml:space="preserve">19. ADEQUAÇÃO ORÇAMENTÁRIA </w:t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19.1.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360" w:before="0" w:after="246"/>
        <w:ind w:hanging="0" w:left="36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  <w:shd w:fill="auto" w:val="clear"/>
        </w:rPr>
        <w:t>Secretaria Municipal de Obras e Desenvolvimento Urbano FICHA – FONTE: 00178</w:t>
      </w:r>
      <w:r>
        <w:rPr>
          <w:rFonts w:eastAsia="Times New Roman" w:cs="Arial" w:ascii="Verdana" w:hAnsi="Verdana"/>
          <w:color w:val="000000"/>
          <w:kern w:val="0"/>
          <w:sz w:val="22"/>
          <w:szCs w:val="22"/>
          <w:shd w:fill="auto" w:val="clear"/>
          <w:lang w:val="pt-BR" w:eastAsia="pt-BR" w:bidi="ar-SA"/>
        </w:rPr>
        <w:t>-</w:t>
      </w:r>
      <w:r>
        <w:rPr>
          <w:rFonts w:cs="Arial" w:ascii="Verdana" w:hAnsi="Verdana"/>
          <w:color w:val="000000"/>
          <w:sz w:val="22"/>
          <w:szCs w:val="22"/>
          <w:shd w:fill="auto" w:val="clear"/>
        </w:rPr>
        <w:t xml:space="preserve">15000000000 o valor de R$ </w:t>
      </w:r>
      <w:r>
        <w:rPr>
          <w:rFonts w:cs="Arial" w:ascii="Verdana" w:hAnsi="Verdana"/>
          <w:color w:val="000000"/>
          <w:sz w:val="22"/>
          <w:szCs w:val="22"/>
          <w:shd w:fill="auto" w:val="clear"/>
        </w:rPr>
        <w:t>282.244,30 (duzentos e oitenta e dois mil duzentos e quarenta e quatro reais e trinta centavos)</w:t>
      </w:r>
    </w:p>
    <w:p>
      <w:pPr>
        <w:pStyle w:val="Normal"/>
        <w:spacing w:lineRule="auto" w:line="360" w:before="0" w:after="246"/>
        <w:ind w:hanging="0" w:left="360" w:right="0"/>
        <w:jc w:val="both"/>
        <w:rPr>
          <w:rFonts w:ascii="Verdana" w:hAnsi="Verdana" w:cs="Arial"/>
          <w:color w:val="000000"/>
          <w:sz w:val="22"/>
          <w:szCs w:val="22"/>
          <w:shd w:fill="auto" w:val="clear"/>
        </w:rPr>
      </w:pPr>
      <w:r>
        <w:rPr>
          <w:rFonts w:cs="Arial" w:ascii="Verdana" w:hAnsi="Verdana"/>
          <w:color w:val="000000"/>
          <w:sz w:val="22"/>
          <w:szCs w:val="22"/>
          <w:shd w:fill="auto" w:val="clear"/>
        </w:rPr>
      </w:r>
    </w:p>
    <w:p>
      <w:pPr>
        <w:pStyle w:val="Normal"/>
        <w:spacing w:lineRule="auto" w:line="360" w:before="0" w:after="246"/>
        <w:ind w:hanging="0" w:left="360" w:right="0"/>
        <w:jc w:val="both"/>
        <w:rPr>
          <w:rFonts w:ascii="Verdana" w:hAnsi="Verdana" w:cs="Arial"/>
          <w:color w:val="000000"/>
          <w:sz w:val="22"/>
          <w:szCs w:val="22"/>
          <w:shd w:fill="auto" w:val="clear"/>
        </w:rPr>
      </w:pPr>
      <w:r>
        <w:rPr>
          <w:rFonts w:cs="Arial" w:ascii="Verdana" w:hAnsi="Verdana"/>
          <w:color w:val="000000"/>
          <w:sz w:val="22"/>
          <w:szCs w:val="22"/>
          <w:shd w:fill="auto" w:val="clear"/>
        </w:rPr>
      </w:r>
    </w:p>
    <w:p>
      <w:pPr>
        <w:pStyle w:val="Normal"/>
        <w:spacing w:lineRule="auto" w:line="360" w:before="0" w:after="246"/>
        <w:ind w:hanging="0" w:left="360" w:right="0"/>
        <w:jc w:val="both"/>
        <w:rPr>
          <w:rFonts w:ascii="Verdana" w:hAnsi="Verdana" w:cs="Arial"/>
          <w:color w:val="000000"/>
          <w:sz w:val="22"/>
          <w:szCs w:val="22"/>
          <w:shd w:fill="auto" w:val="clear"/>
        </w:rPr>
      </w:pPr>
      <w:r>
        <w:rPr>
          <w:rFonts w:cs="Arial" w:ascii="Verdana" w:hAnsi="Verdana"/>
          <w:color w:val="000000"/>
          <w:sz w:val="22"/>
          <w:szCs w:val="22"/>
          <w:shd w:fill="auto" w:val="clear"/>
        </w:rPr>
      </w:r>
    </w:p>
    <w:p>
      <w:pPr>
        <w:pStyle w:val="Normal"/>
        <w:spacing w:lineRule="auto" w:line="360" w:before="0" w:after="246"/>
        <w:ind w:hanging="0" w:left="360" w:right="0"/>
        <w:jc w:val="both"/>
        <w:rPr>
          <w:rFonts w:ascii="Verdana" w:hAnsi="Verdana" w:cs="Arial"/>
          <w:color w:val="000000"/>
          <w:sz w:val="22"/>
          <w:szCs w:val="22"/>
          <w:shd w:fill="auto" w:val="clear"/>
        </w:rPr>
      </w:pPr>
      <w:r>
        <w:rPr>
          <w:rFonts w:cs="Arial" w:ascii="Verdana" w:hAnsi="Verdana"/>
          <w:color w:val="000000"/>
          <w:sz w:val="22"/>
          <w:szCs w:val="22"/>
          <w:shd w:fill="auto" w:val="clear"/>
        </w:rPr>
      </w:r>
    </w:p>
    <w:p>
      <w:pPr>
        <w:pStyle w:val="Normal"/>
        <w:spacing w:lineRule="auto" w:line="360" w:before="0" w:after="246"/>
        <w:ind w:hanging="0" w:left="360" w:right="0"/>
        <w:jc w:val="both"/>
        <w:rPr>
          <w:rFonts w:ascii="Verdana" w:hAnsi="Verdana" w:cs="Arial"/>
          <w:color w:val="000000"/>
          <w:sz w:val="22"/>
          <w:szCs w:val="22"/>
          <w:shd w:fill="auto" w:val="clear"/>
        </w:rPr>
      </w:pPr>
      <w:r>
        <w:rPr>
          <w:rFonts w:cs="Arial" w:ascii="Verdana" w:hAnsi="Verdana"/>
          <w:color w:val="000000"/>
          <w:sz w:val="22"/>
          <w:szCs w:val="22"/>
          <w:shd w:fill="auto" w:val="clear"/>
        </w:rPr>
      </w:r>
    </w:p>
    <w:p>
      <w:pPr>
        <w:pStyle w:val="Normal"/>
        <w:spacing w:lineRule="auto" w:line="360" w:before="0" w:after="246"/>
        <w:ind w:hanging="0" w:left="360" w:right="0"/>
        <w:jc w:val="both"/>
        <w:rPr>
          <w:rFonts w:ascii="Verdana" w:hAnsi="Verdana" w:cs="Arial"/>
          <w:color w:val="000000"/>
          <w:sz w:val="22"/>
          <w:szCs w:val="22"/>
          <w:shd w:fill="auto" w:val="clear"/>
        </w:rPr>
      </w:pPr>
      <w:r>
        <w:rPr>
          <w:rFonts w:cs="Arial" w:ascii="Verdana" w:hAnsi="Verdana"/>
          <w:color w:val="000000"/>
          <w:sz w:val="22"/>
          <w:szCs w:val="22"/>
          <w:shd w:fill="auto" w:val="clear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color w:val="000000"/>
          <w:sz w:val="22"/>
          <w:szCs w:val="22"/>
        </w:rPr>
        <w:t>20. DOS RESPONSÁVEIS PELA ELABORAÇÃO DO TERMO DE REFERÊNCIA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20.1.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lang w:val="pt-BR" w:eastAsia="pt-BR" w:bidi="ar-SA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lang w:val="pt-BR" w:eastAsia="pt-BR" w:bidi="ar-SA"/>
        </w:rPr>
        <w:t>na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360"/>
        <w:jc w:val="right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São Gabriel da Palha, </w:t>
      </w:r>
      <w:r>
        <w:rPr>
          <w:rFonts w:ascii="Verdana" w:hAnsi="Verdana"/>
          <w:color w:val="000000"/>
          <w:sz w:val="22"/>
          <w:szCs w:val="22"/>
          <w:shd w:fill="auto" w:val="clear"/>
        </w:rPr>
        <w:t>07</w:t>
      </w: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 de </w:t>
      </w: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julho </w:t>
      </w:r>
      <w:r>
        <w:rPr>
          <w:rFonts w:ascii="Verdana" w:hAnsi="Verdana"/>
          <w:color w:val="000000"/>
          <w:sz w:val="22"/>
          <w:szCs w:val="22"/>
          <w:shd w:fill="auto" w:val="clear"/>
        </w:rPr>
        <w:t>de 2025</w:t>
      </w:r>
    </w:p>
    <w:p>
      <w:pPr>
        <w:pStyle w:val="Normal"/>
        <w:spacing w:lineRule="auto" w:line="360"/>
        <w:jc w:val="right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color w:val="000000"/>
          <w:sz w:val="22"/>
          <w:szCs w:val="22"/>
        </w:rPr>
      </w:pPr>
      <w:r>
        <w:rPr>
          <w:rFonts w:cs="Arial" w:ascii="Verdana" w:hAnsi="Verdana"/>
          <w:b/>
          <w:bCs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color w:val="000000"/>
          <w:sz w:val="22"/>
          <w:szCs w:val="22"/>
        </w:rPr>
      </w:pPr>
      <w:r>
        <w:rPr>
          <w:rFonts w:cs="Arial" w:ascii="Verdana" w:hAnsi="Verdana"/>
          <w:b/>
          <w:bCs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color w:val="000000"/>
          <w:sz w:val="22"/>
          <w:szCs w:val="22"/>
        </w:rPr>
      </w:pPr>
      <w:r>
        <w:rPr>
          <w:rFonts w:cs="Arial" w:ascii="Verdana" w:hAnsi="Verdana"/>
          <w:b/>
          <w:bCs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color w:val="000000"/>
          <w:sz w:val="22"/>
          <w:szCs w:val="22"/>
        </w:rPr>
      </w:pPr>
      <w:bookmarkStart w:id="8" w:name="_GoBack1"/>
      <w:bookmarkStart w:id="9" w:name="_GoBack"/>
      <w:bookmarkEnd w:id="8"/>
      <w:bookmarkEnd w:id="9"/>
      <w:r>
        <w:rPr>
          <w:rFonts w:cs="Arial" w:ascii="Verdana" w:hAnsi="Verdana"/>
          <w:b/>
          <w:bCs/>
          <w:color w:val="000000"/>
          <w:sz w:val="22"/>
          <w:szCs w:val="22"/>
        </w:rPr>
        <w:t>Elaborado por:</w:t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RODOLFO ANTÔNIO DA SILVA NETO</w:t>
      </w:r>
    </w:p>
    <w:p>
      <w:pPr>
        <w:pStyle w:val="Normal"/>
        <w:spacing w:lineRule="auto" w:line="24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Agente de Serviços Técnicos – Portaria n° 9.965/2025</w:t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Mat. nº 000406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RUTH BARBARA DA SILWA NASCIMENTO</w:t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Agente de Serviços Técnicos - Decreto n° 4.816/2025.</w:t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Mat. nº 002983</w:t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  <w:bookmarkStart w:id="10" w:name="art122%252525252525252525252525252525254"/>
      <w:bookmarkStart w:id="11" w:name="art122%252525252525252525252525252525254"/>
      <w:bookmarkEnd w:id="11"/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1480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user">
    <w:name w:val="Marcadores (user)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fals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user">
    <w:name w:val="Conteúdo da tabela (user)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Padro1">
    <w:name w:val="Padrão"/>
    <w:qFormat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0"/>
      <w:sz w:val="24"/>
      <w:szCs w:val="24"/>
      <w:lang w:val="pt-BR" w:eastAsia="zh-CN" w:bidi="hi-IN"/>
    </w:rPr>
  </w:style>
  <w:style w:type="numbering" w:styleId="Semlistauser">
    <w:name w:val="Sem lista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Application>LibreOffice/25.2.4.3$Windows_X86_64 LibreOffice_project/33e196637044ead23f5c3226cde09b47731f7e27</Application>
  <AppVersion>15.0000</AppVersion>
  <Pages>21</Pages>
  <Words>5290</Words>
  <Characters>29278</Characters>
  <CharactersWithSpaces>34216</CharactersWithSpaces>
  <Paragraphs>495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2024-11-06T17:12:32Z</cp:lastPrinted>
  <dcterms:modified xsi:type="dcterms:W3CDTF">2025-07-04T12:44:54Z</dcterms:modified>
  <cp:revision>189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